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11AAE" w:rsidRDefault="00CE27FD">
      <w:pPr>
        <w:spacing w:after="280" w:line="240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DIPLOMATURA EN PERSPECTIVA DE GÉNERO Y DIVERSIDAD</w:t>
      </w:r>
    </w:p>
    <w:p w14:paraId="00000002" w14:textId="77777777" w:rsidR="00A11AAE" w:rsidRDefault="00A11AAE">
      <w:pPr>
        <w:spacing w:before="280" w:after="280" w:line="240" w:lineRule="auto"/>
        <w:rPr>
          <w:rFonts w:ascii="Verdana" w:eastAsia="Verdana" w:hAnsi="Verdana" w:cs="Verdana"/>
          <w:sz w:val="28"/>
          <w:szCs w:val="28"/>
        </w:rPr>
      </w:pPr>
    </w:p>
    <w:p w14:paraId="00000003" w14:textId="77777777" w:rsidR="00A11AAE" w:rsidRDefault="00CE27FD">
      <w:pPr>
        <w:spacing w:before="280" w:after="280" w:line="276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Facultad de Ciencias Económicas y Jurídicas - Universidad del Aconcagua</w:t>
      </w:r>
      <w:r>
        <w:rPr>
          <w:rFonts w:ascii="Verdana" w:eastAsia="Verdana" w:hAnsi="Verdana" w:cs="Verdana"/>
          <w:sz w:val="28"/>
          <w:szCs w:val="28"/>
        </w:rPr>
        <w:br/>
      </w:r>
      <w:r>
        <w:rPr>
          <w:rFonts w:ascii="Verdana" w:eastAsia="Verdana" w:hAnsi="Verdana" w:cs="Verdana"/>
          <w:b/>
          <w:bCs/>
          <w:sz w:val="28"/>
          <w:szCs w:val="28"/>
        </w:rPr>
        <w:t>3ra Cohorte – 2026</w:t>
      </w:r>
    </w:p>
    <w:p w14:paraId="00000004" w14:textId="77777777" w:rsidR="00A11AAE" w:rsidRDefault="00A11AAE">
      <w:pPr>
        <w:spacing w:before="280" w:after="280" w:line="276" w:lineRule="auto"/>
        <w:rPr>
          <w:rFonts w:ascii="Verdana" w:eastAsia="Verdana" w:hAnsi="Verdana" w:cs="Verdana"/>
          <w:sz w:val="28"/>
          <w:szCs w:val="28"/>
        </w:rPr>
      </w:pPr>
    </w:p>
    <w:p w14:paraId="00000005" w14:textId="77777777" w:rsidR="00A11AAE" w:rsidRDefault="00CE27FD">
      <w:pPr>
        <w:spacing w:before="280" w:after="280" w:line="276" w:lineRule="auto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PROGRAMA DE ESTUDIO</w:t>
      </w:r>
    </w:p>
    <w:p w14:paraId="00000006" w14:textId="77777777" w:rsidR="00A11AAE" w:rsidRDefault="00CE27FD">
      <w:pPr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La Diplomatura en Perspectiva de Género y Diversidad tiene como objetivo brindar herramientas teóricas y prácticas para comprender las desigualdades de género en diferentes ámbitos y promover la equidad e inclusión. Se abordarán conceptos claves sobre teorías feministas, derechos humanos, políticas públicas, legislación vigente y estrategias de intervención en ámbitos laborales, educativos, sanitarios y judiciales.</w:t>
      </w:r>
    </w:p>
    <w:p w14:paraId="00000007" w14:textId="5C8D19DA" w:rsidR="00A11AAE" w:rsidRDefault="00CE27FD">
      <w:pPr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Las clases se dictarán los viernes de 16:00 a 20:00 </w:t>
      </w:r>
      <w:proofErr w:type="spellStart"/>
      <w:r>
        <w:rPr>
          <w:rFonts w:ascii="Verdana" w:eastAsia="Verdana" w:hAnsi="Verdana" w:cs="Verdana"/>
          <w:sz w:val="28"/>
          <w:szCs w:val="28"/>
        </w:rPr>
        <w:t>hs</w:t>
      </w:r>
      <w:proofErr w:type="spellEnd"/>
      <w:r>
        <w:rPr>
          <w:rFonts w:ascii="Verdana" w:eastAsia="Verdana" w:hAnsi="Verdana" w:cs="Verdana"/>
          <w:sz w:val="28"/>
          <w:szCs w:val="28"/>
        </w:rPr>
        <w:t xml:space="preserve"> y </w:t>
      </w:r>
      <w:r w:rsidR="00B30F08">
        <w:rPr>
          <w:rFonts w:ascii="Verdana" w:eastAsia="Verdana" w:hAnsi="Verdana" w:cs="Verdana"/>
          <w:sz w:val="28"/>
          <w:szCs w:val="28"/>
        </w:rPr>
        <w:t xml:space="preserve">algunos jueves para temáticas electivas en el mismo horario. </w:t>
      </w:r>
      <w:r>
        <w:rPr>
          <w:rFonts w:ascii="Verdana" w:eastAsia="Verdana" w:hAnsi="Verdana" w:cs="Verdana"/>
          <w:sz w:val="28"/>
          <w:szCs w:val="28"/>
        </w:rPr>
        <w:t xml:space="preserve"> </w:t>
      </w:r>
      <w:r w:rsidR="00B30F08">
        <w:rPr>
          <w:rFonts w:ascii="Verdana" w:eastAsia="Verdana" w:hAnsi="Verdana" w:cs="Verdana"/>
          <w:sz w:val="28"/>
          <w:szCs w:val="28"/>
        </w:rPr>
        <w:t xml:space="preserve">La modalidad es mixta (virtual-presencial) </w:t>
      </w:r>
      <w:r>
        <w:rPr>
          <w:rFonts w:ascii="Verdana" w:eastAsia="Verdana" w:hAnsi="Verdana" w:cs="Verdana"/>
          <w:sz w:val="28"/>
          <w:szCs w:val="28"/>
        </w:rPr>
        <w:t>Se informará oportunamente cuando alguna clase sea presencial (con transmisión online).</w:t>
      </w:r>
    </w:p>
    <w:p w14:paraId="00000008" w14:textId="77777777" w:rsidR="00A11AAE" w:rsidRDefault="00CE27FD">
      <w:pPr>
        <w:pStyle w:val="Ttulo3"/>
        <w:spacing w:before="280" w:after="280" w:line="276" w:lineRule="auto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TEMARIO</w:t>
      </w:r>
    </w:p>
    <w:p w14:paraId="00000009" w14:textId="77777777" w:rsidR="00A11AAE" w:rsidRDefault="00CE27F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Módulo 1 y 2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- Marco Conceptual y Marco Jurídico local e internacional.</w:t>
      </w:r>
    </w:p>
    <w:p w14:paraId="0000000A" w14:textId="0495B827" w:rsidR="00A11AAE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  <w:highlight w:val="white"/>
        </w:rPr>
      </w:pPr>
      <w:r>
        <w:rPr>
          <w:rFonts w:ascii="Verdana" w:eastAsia="Verdana" w:hAnsi="Verdana" w:cs="Verdana"/>
          <w:sz w:val="28"/>
          <w:szCs w:val="28"/>
          <w:highlight w:val="white"/>
        </w:rPr>
        <w:t xml:space="preserve">Feminismos: Historia y manifestaciones. Perspectivas género-sensitivas. Desarrollo teórico actual. Transversalidad-Intersecciones. Androcentrismo cultural y jurídico. Contexto Internacional: Género y derechos humanos. Derecho Internacional de los Derechos Humanos. </w:t>
      </w:r>
    </w:p>
    <w:p w14:paraId="0000000B" w14:textId="77777777" w:rsidR="00A11AAE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  <w:highlight w:val="white"/>
        </w:rPr>
        <w:lastRenderedPageBreak/>
        <w:t>Política Pública y género. Incorporación de la equidad de género como tema en las políticas públicas. Proceso social y político. Escenario y Actores. Enfoque metodológico. Herramientas</w:t>
      </w:r>
      <w:r>
        <w:rPr>
          <w:rFonts w:ascii="Verdana" w:eastAsia="Verdana" w:hAnsi="Verdana" w:cs="Verdana"/>
          <w:b/>
          <w:bCs/>
          <w:sz w:val="28"/>
          <w:szCs w:val="28"/>
          <w:highlight w:val="white"/>
        </w:rPr>
        <w:t xml:space="preserve"> </w:t>
      </w:r>
      <w:r>
        <w:rPr>
          <w:rFonts w:ascii="Verdana" w:eastAsia="Verdana" w:hAnsi="Verdana" w:cs="Verdana"/>
          <w:sz w:val="28"/>
          <w:szCs w:val="28"/>
          <w:highlight w:val="white"/>
        </w:rPr>
        <w:t>locales.</w:t>
      </w:r>
    </w:p>
    <w:p w14:paraId="0000000C" w14:textId="77777777" w:rsidR="00A11AAE" w:rsidRDefault="00CE27F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Verdana" w:eastAsia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Módulo 3 y 4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- </w:t>
      </w:r>
      <w:r>
        <w:rPr>
          <w:rFonts w:ascii="Verdana" w:eastAsia="Verdana" w:hAnsi="Verdana" w:cs="Verdana"/>
          <w:b/>
          <w:bCs/>
          <w:color w:val="000000"/>
          <w:sz w:val="28"/>
          <w:szCs w:val="28"/>
          <w:highlight w:val="white"/>
        </w:rPr>
        <w:t>Áreas de Trabajo para la Igualdad I</w:t>
      </w:r>
      <w:r>
        <w:rPr>
          <w:rFonts w:ascii="Verdana" w:eastAsia="Verdana" w:hAnsi="Verdana" w:cs="Verdana"/>
          <w:color w:val="000000"/>
          <w:sz w:val="28"/>
          <w:szCs w:val="28"/>
          <w:highlight w:val="white"/>
        </w:rPr>
        <w:t xml:space="preserve"> </w:t>
      </w:r>
    </w:p>
    <w:p w14:paraId="0000000D" w14:textId="77777777" w:rsidR="00A11AAE" w:rsidRDefault="00CE27F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Verdana" w:eastAsia="Verdana" w:hAnsi="Verdana" w:cs="Verdana"/>
          <w:color w:val="000000"/>
          <w:sz w:val="28"/>
          <w:szCs w:val="28"/>
          <w:highlight w:val="white"/>
        </w:rPr>
      </w:pPr>
      <w:r>
        <w:rPr>
          <w:rFonts w:ascii="Verdana" w:eastAsia="Verdana" w:hAnsi="Verdana" w:cs="Verdana"/>
          <w:color w:val="000000"/>
          <w:sz w:val="28"/>
          <w:szCs w:val="28"/>
          <w:highlight w:val="white"/>
        </w:rPr>
        <w:t xml:space="preserve">Diversidad y Derechos Humanos. Del paradigma </w:t>
      </w:r>
      <w:proofErr w:type="spellStart"/>
      <w:r>
        <w:rPr>
          <w:rFonts w:ascii="Verdana" w:eastAsia="Verdana" w:hAnsi="Verdana" w:cs="Verdana"/>
          <w:color w:val="000000"/>
          <w:sz w:val="28"/>
          <w:szCs w:val="28"/>
          <w:highlight w:val="white"/>
        </w:rPr>
        <w:t>heterocisnormativo</w:t>
      </w:r>
      <w:proofErr w:type="spellEnd"/>
      <w:r>
        <w:rPr>
          <w:rFonts w:ascii="Verdana" w:eastAsia="Verdana" w:hAnsi="Verdana" w:cs="Verdana"/>
          <w:color w:val="000000"/>
          <w:sz w:val="28"/>
          <w:szCs w:val="28"/>
          <w:highlight w:val="white"/>
        </w:rPr>
        <w:t xml:space="preserve"> al paradigma de la diversidad sexual. Lenguaje y comunicación. Herramientas de intervención y marco normativo. </w:t>
      </w:r>
    </w:p>
    <w:p w14:paraId="0000000E" w14:textId="77777777" w:rsidR="00A11AAE" w:rsidRDefault="00CE27F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  <w:highlight w:val="white"/>
        </w:rPr>
        <w:t>Educación e Igualdad. Educación no sexista-coeducación. Estrategias y herramientas metodológicas/conceptuales para la incorporación de la perspectiva de género y derechos en la educación.</w:t>
      </w:r>
    </w:p>
    <w:p w14:paraId="0000000F" w14:textId="77777777" w:rsidR="00A11AAE" w:rsidRDefault="00A11AAE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Verdana" w:eastAsia="Verdana" w:hAnsi="Verdana" w:cs="Verdana"/>
          <w:color w:val="000000"/>
          <w:sz w:val="28"/>
          <w:szCs w:val="28"/>
        </w:rPr>
      </w:pPr>
    </w:p>
    <w:p w14:paraId="00000010" w14:textId="77777777" w:rsidR="00A11AAE" w:rsidRDefault="00CE27F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Módulo 5 y 6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- </w:t>
      </w:r>
      <w:r>
        <w:rPr>
          <w:rFonts w:ascii="Verdana" w:eastAsia="Verdana" w:hAnsi="Verdana" w:cs="Verdana"/>
          <w:b/>
          <w:bCs/>
          <w:color w:val="000000"/>
          <w:sz w:val="28"/>
          <w:szCs w:val="28"/>
          <w:highlight w:val="white"/>
        </w:rPr>
        <w:t>Áreas de Trabajo para la Igualdad II</w:t>
      </w:r>
    </w:p>
    <w:p w14:paraId="00000011" w14:textId="77777777" w:rsidR="00A11AAE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  <w:highlight w:val="white"/>
        </w:rPr>
        <w:t>Salud. La intervención con perspectiva de género. Intervención en los casos de violencia sexual protocolos/acuerdos para la atención en salud. Salud sexual y reproductiva. Violencia Obstétrica.</w:t>
      </w:r>
    </w:p>
    <w:p w14:paraId="1D427319" w14:textId="77777777" w:rsidR="00B30F08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  <w:highlight w:val="white"/>
        </w:rPr>
      </w:pPr>
      <w:r>
        <w:rPr>
          <w:rFonts w:ascii="Verdana" w:eastAsia="Verdana" w:hAnsi="Verdana" w:cs="Verdana"/>
          <w:sz w:val="28"/>
          <w:szCs w:val="28"/>
          <w:highlight w:val="white"/>
        </w:rPr>
        <w:t>Empoderamiento-Liderazgo. Paridad Política. Mundo Laboral. División sexual del trabajo. Trabajo reproductivo/Economía sumergida. Cuidados/Usos del tiempo. Feminización de la pobreza. Brecha laboral. Planes de igualdad para empresas. </w:t>
      </w:r>
    </w:p>
    <w:p w14:paraId="00000012" w14:textId="0E35BFF5" w:rsidR="00A11AAE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  <w:highlight w:val="white"/>
        </w:rPr>
      </w:pPr>
      <w:proofErr w:type="spellStart"/>
      <w:r>
        <w:rPr>
          <w:rFonts w:ascii="Verdana" w:eastAsia="Verdana" w:hAnsi="Verdana" w:cs="Verdana"/>
          <w:sz w:val="28"/>
          <w:szCs w:val="28"/>
          <w:highlight w:val="white"/>
        </w:rPr>
        <w:t>Teconologías</w:t>
      </w:r>
      <w:proofErr w:type="spellEnd"/>
      <w:r>
        <w:rPr>
          <w:rFonts w:ascii="Verdana" w:eastAsia="Verdana" w:hAnsi="Verdana" w:cs="Verdana"/>
          <w:sz w:val="28"/>
          <w:szCs w:val="28"/>
          <w:highlight w:val="white"/>
        </w:rPr>
        <w:t xml:space="preserve"> e I.A. en perspectiva de Género. Violencia de género en entornos digitales. </w:t>
      </w:r>
      <w:proofErr w:type="spellStart"/>
      <w:r w:rsidR="004B1CE6">
        <w:rPr>
          <w:rFonts w:ascii="Verdana" w:eastAsia="Verdana" w:hAnsi="Verdana" w:cs="Verdana"/>
          <w:sz w:val="28"/>
          <w:szCs w:val="28"/>
        </w:rPr>
        <w:t>Complia</w:t>
      </w:r>
      <w:r w:rsidR="00B30F08" w:rsidRPr="004B1CE6">
        <w:rPr>
          <w:rFonts w:ascii="Verdana" w:eastAsia="Verdana" w:hAnsi="Verdana" w:cs="Verdana"/>
          <w:sz w:val="28"/>
          <w:szCs w:val="28"/>
        </w:rPr>
        <w:t>nce</w:t>
      </w:r>
      <w:proofErr w:type="spellEnd"/>
      <w:r w:rsidR="00B30F08" w:rsidRPr="004B1CE6">
        <w:rPr>
          <w:rFonts w:ascii="Verdana" w:eastAsia="Verdana" w:hAnsi="Verdana" w:cs="Verdana"/>
          <w:sz w:val="28"/>
          <w:szCs w:val="28"/>
        </w:rPr>
        <w:t xml:space="preserve">, Minería y </w:t>
      </w:r>
      <w:r w:rsidR="004B1CE6">
        <w:rPr>
          <w:rFonts w:ascii="Verdana" w:eastAsia="Verdana" w:hAnsi="Verdana" w:cs="Verdana"/>
          <w:sz w:val="28"/>
          <w:szCs w:val="28"/>
        </w:rPr>
        <w:t>gobernanza con perspectiva de gé</w:t>
      </w:r>
      <w:bookmarkStart w:id="0" w:name="_GoBack"/>
      <w:bookmarkEnd w:id="0"/>
      <w:r w:rsidR="00B30F08" w:rsidRPr="004B1CE6">
        <w:rPr>
          <w:rFonts w:ascii="Verdana" w:eastAsia="Verdana" w:hAnsi="Verdana" w:cs="Verdana"/>
          <w:sz w:val="28"/>
          <w:szCs w:val="28"/>
        </w:rPr>
        <w:t>nero</w:t>
      </w:r>
      <w:r w:rsidR="004B1CE6">
        <w:rPr>
          <w:rFonts w:ascii="Verdana" w:eastAsia="Verdana" w:hAnsi="Verdana" w:cs="Verdana"/>
          <w:sz w:val="28"/>
          <w:szCs w:val="28"/>
        </w:rPr>
        <w:t>.</w:t>
      </w:r>
    </w:p>
    <w:p w14:paraId="00000013" w14:textId="77777777" w:rsidR="00A11AAE" w:rsidRDefault="00CE27F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Módulo 7 y 8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- </w:t>
      </w: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Herramientas Estatales y legales para la igualdad.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</w:p>
    <w:p w14:paraId="00000014" w14:textId="77777777" w:rsidR="00A11AAE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  <w:highlight w:val="white"/>
        </w:rPr>
        <w:lastRenderedPageBreak/>
        <w:t>Violencia de género (Ley 26.485). Procedimiento judicial en la Provincia de Mendoza. Usos actuales y potenciales de herramientas específicas.</w:t>
      </w:r>
    </w:p>
    <w:p w14:paraId="00000015" w14:textId="77777777" w:rsidR="00A11AAE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  <w:highlight w:val="white"/>
        </w:rPr>
        <w:t>Marco Institucional. Procedimientos en la Justicia Provincial.</w:t>
      </w:r>
    </w:p>
    <w:p w14:paraId="00000016" w14:textId="77777777" w:rsidR="00A11AAE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  <w:highlight w:val="white"/>
        </w:rPr>
        <w:t>Trata de personas. Herramientas de intervención. Legislación Argentina.</w:t>
      </w:r>
    </w:p>
    <w:p w14:paraId="00000017" w14:textId="77777777" w:rsidR="00A11AAE" w:rsidRDefault="00CE27FD">
      <w:pPr>
        <w:shd w:val="clear" w:color="auto" w:fill="FDFDFD"/>
        <w:spacing w:before="280" w:after="280" w:line="276" w:lineRule="auto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  <w:highlight w:val="white"/>
        </w:rPr>
        <w:t>Proceso Penal. Herramientas para la aplicación de la normativa en los procesos judiciales. El Derecho y el Proceso Civil con perspectiva de género. Buenas prácticas en el circuito judicial. La Prueba en la Ley de Protección Integral a las mujeres N° 26485. La perspectiva de género en la práctica policial-herramientas policiales para la intervención.</w:t>
      </w:r>
    </w:p>
    <w:p w14:paraId="00000018" w14:textId="77777777" w:rsidR="00A11AAE" w:rsidRDefault="00CE27FD">
      <w:pPr>
        <w:spacing w:before="280" w:after="280" w:line="276" w:lineRule="auto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Evaluación y Tutorías</w:t>
      </w:r>
    </w:p>
    <w:p w14:paraId="00000019" w14:textId="017355F2" w:rsidR="00A11AAE" w:rsidRDefault="00CE27FD">
      <w:pPr>
        <w:numPr>
          <w:ilvl w:val="0"/>
          <w:numId w:val="1"/>
        </w:numPr>
        <w:spacing w:before="280" w:after="0" w:line="276" w:lineRule="auto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Durante el mes de </w:t>
      </w:r>
      <w:r w:rsidR="00B30F08">
        <w:rPr>
          <w:rFonts w:ascii="Verdana" w:eastAsia="Verdana" w:hAnsi="Verdana" w:cs="Verdana"/>
          <w:sz w:val="28"/>
          <w:szCs w:val="28"/>
        </w:rPr>
        <w:t>diciembre</w:t>
      </w:r>
      <w:r>
        <w:rPr>
          <w:rFonts w:ascii="Verdana" w:eastAsia="Verdana" w:hAnsi="Verdana" w:cs="Verdana"/>
          <w:sz w:val="28"/>
          <w:szCs w:val="28"/>
        </w:rPr>
        <w:t xml:space="preserve"> se realizarán tutorías para la elaboración del trabajo final.</w:t>
      </w:r>
    </w:p>
    <w:p w14:paraId="0000001A" w14:textId="46166665" w:rsidR="00A11AAE" w:rsidRDefault="00CE27FD">
      <w:pPr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Fecha límite de entrega del trabajo final: </w:t>
      </w:r>
      <w:r w:rsidR="00B30F08">
        <w:rPr>
          <w:rFonts w:ascii="Verdana" w:eastAsia="Verdana" w:hAnsi="Verdana" w:cs="Verdana"/>
          <w:sz w:val="28"/>
          <w:szCs w:val="28"/>
        </w:rPr>
        <w:t>20</w:t>
      </w:r>
      <w:r>
        <w:rPr>
          <w:rFonts w:ascii="Verdana" w:eastAsia="Verdana" w:hAnsi="Verdana" w:cs="Verdana"/>
          <w:sz w:val="28"/>
          <w:szCs w:val="28"/>
        </w:rPr>
        <w:t xml:space="preserve"> de </w:t>
      </w:r>
      <w:r w:rsidR="00B30F08">
        <w:rPr>
          <w:rFonts w:ascii="Verdana" w:eastAsia="Verdana" w:hAnsi="Verdana" w:cs="Verdana"/>
          <w:sz w:val="28"/>
          <w:szCs w:val="28"/>
        </w:rPr>
        <w:t>febrero</w:t>
      </w:r>
      <w:r>
        <w:rPr>
          <w:rFonts w:ascii="Verdana" w:eastAsia="Verdana" w:hAnsi="Verdana" w:cs="Verdana"/>
          <w:sz w:val="28"/>
          <w:szCs w:val="28"/>
        </w:rPr>
        <w:t xml:space="preserve"> de 202</w:t>
      </w:r>
      <w:r w:rsidR="00B30F08">
        <w:rPr>
          <w:rFonts w:ascii="Verdana" w:eastAsia="Verdana" w:hAnsi="Verdana" w:cs="Verdana"/>
          <w:sz w:val="28"/>
          <w:szCs w:val="28"/>
        </w:rPr>
        <w:t>7</w:t>
      </w:r>
      <w:r>
        <w:rPr>
          <w:rFonts w:ascii="Verdana" w:eastAsia="Verdana" w:hAnsi="Verdana" w:cs="Verdana"/>
          <w:sz w:val="28"/>
          <w:szCs w:val="28"/>
        </w:rPr>
        <w:t>.</w:t>
      </w:r>
    </w:p>
    <w:p w14:paraId="0000001B" w14:textId="77777777" w:rsidR="00A11AAE" w:rsidRDefault="00CE27FD">
      <w:pPr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La evaluación consta de 4 exámenes online y actividades prácticas durante el cursado.</w:t>
      </w:r>
    </w:p>
    <w:p w14:paraId="0000001C" w14:textId="5792EFC9" w:rsidR="00A11AAE" w:rsidRDefault="00CE27FD">
      <w:pPr>
        <w:numPr>
          <w:ilvl w:val="0"/>
          <w:numId w:val="1"/>
        </w:numPr>
        <w:spacing w:after="280" w:line="276" w:lineRule="auto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La diplomatura tiene una carga total de 126 horas de clases, incluyendo horas de prácticos y tutorías.</w:t>
      </w:r>
    </w:p>
    <w:p w14:paraId="0000001D" w14:textId="77777777" w:rsidR="00A11AAE" w:rsidRDefault="00CE27FD">
      <w:pPr>
        <w:pStyle w:val="Ttulo3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Costos de la Diplomatura</w:t>
      </w:r>
    </w:p>
    <w:p w14:paraId="0000001E" w14:textId="77777777" w:rsidR="00A11AAE" w:rsidRDefault="00CE27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Se abona una inscripción y 6 cuotas mensuales.</w:t>
      </w:r>
    </w:p>
    <w:p w14:paraId="0000001F" w14:textId="77777777" w:rsidR="00A11AAE" w:rsidRDefault="00A11AAE">
      <w:pPr>
        <w:rPr>
          <w:sz w:val="28"/>
          <w:szCs w:val="28"/>
        </w:rPr>
      </w:pPr>
    </w:p>
    <w:sectPr w:rsidR="00A11AA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C640974-8561-4590-9721-0C006B1BEF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E494A7E-63D7-47F6-BC77-23AE2CD437EE}"/>
    <w:embedBold r:id="rId3" w:fontKey="{DF7DF795-4E8E-4D1C-B7C3-190AC44258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4654D38-4B25-44AD-88CE-C924F8FC49A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816D128-5760-41EF-BAA4-B53FA14B66C8}"/>
    <w:embedBold r:id="rId6" w:fontKey="{4CBCADF5-8532-42E4-8C39-09A32BEDB0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24666D0-A890-4469-8566-1701D5DBD1B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AC42EC"/>
    <w:multiLevelType w:val="multilevel"/>
    <w:tmpl w:val="2758B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1BA202C"/>
    <w:multiLevelType w:val="multilevel"/>
    <w:tmpl w:val="FB1851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AAE"/>
    <w:rsid w:val="004B1CE6"/>
    <w:rsid w:val="00A11AAE"/>
    <w:rsid w:val="00B30F08"/>
    <w:rsid w:val="00CE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1BD69"/>
  <w15:docId w15:val="{0A94C880-B349-43A9-A1B1-8334824D2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3Car">
    <w:name w:val="Título 3 Car"/>
    <w:basedOn w:val="Fuentedeprrafopredeter"/>
    <w:uiPriority w:val="9"/>
    <w:rsid w:val="009D42EC"/>
    <w:rPr>
      <w:rFonts w:ascii="Times New Roman" w:eastAsia="Times New Roman" w:hAnsi="Times New Roman" w:cs="Times New Roman"/>
      <w:b/>
      <w:bCs/>
      <w:sz w:val="27"/>
      <w:szCs w:val="27"/>
      <w:lang w:val="es-AR" w:eastAsia="es-AR"/>
    </w:rPr>
  </w:style>
  <w:style w:type="paragraph" w:styleId="NormalWeb">
    <w:name w:val="Normal (Web)"/>
    <w:basedOn w:val="Normal"/>
    <w:uiPriority w:val="99"/>
    <w:unhideWhenUsed/>
    <w:rsid w:val="009D4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D42EC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eiVtXCVULdSDgTuJLMNOLeH2jg==">CgMxLjA4AHIhMW5hVjd0TVFFaDN1ZlByVkJ1N2E1Z0RmRWUyS3FtaDFX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</dc:creator>
  <cp:lastModifiedBy>admin</cp:lastModifiedBy>
  <cp:revision>2</cp:revision>
  <dcterms:created xsi:type="dcterms:W3CDTF">2026-05-20T14:47:00Z</dcterms:created>
  <dcterms:modified xsi:type="dcterms:W3CDTF">2026-05-20T14:47:00Z</dcterms:modified>
</cp:coreProperties>
</file>